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99" w:rsidRDefault="00C91399" w:rsidP="00C9139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91399" w:rsidRDefault="00C91399" w:rsidP="00C91399">
      <w:pPr>
        <w:pStyle w:val="ConsPlusTitle"/>
        <w:jc w:val="center"/>
      </w:pPr>
    </w:p>
    <w:p w:rsidR="00C91399" w:rsidRDefault="00C91399" w:rsidP="00C91399">
      <w:pPr>
        <w:pStyle w:val="ConsPlusTitle"/>
        <w:jc w:val="center"/>
      </w:pPr>
      <w:r>
        <w:t>ИНФОРМАЦИЯ</w:t>
      </w:r>
    </w:p>
    <w:p w:rsidR="00C91399" w:rsidRDefault="00C91399" w:rsidP="00C91399">
      <w:pPr>
        <w:pStyle w:val="ConsPlusTitle"/>
        <w:jc w:val="center"/>
      </w:pPr>
    </w:p>
    <w:p w:rsidR="00C91399" w:rsidRDefault="00C91399" w:rsidP="00C91399">
      <w:pPr>
        <w:pStyle w:val="ConsPlusTitle"/>
        <w:jc w:val="center"/>
      </w:pPr>
      <w:r>
        <w:t>ОСНОВНЫЕ НОВЕЛЛЫ</w:t>
      </w:r>
    </w:p>
    <w:p w:rsidR="00C91399" w:rsidRDefault="00C91399" w:rsidP="00C91399">
      <w:pPr>
        <w:pStyle w:val="ConsPlusTitle"/>
        <w:jc w:val="center"/>
      </w:pPr>
      <w:r>
        <w:t>В МЕТОДИЧЕСКИХ РЕКОМЕНДАЦИЯХ ПО ВОПРОСАМ ПРЕДСТАВЛЕНИЯ</w:t>
      </w:r>
    </w:p>
    <w:p w:rsidR="00C91399" w:rsidRDefault="00C91399" w:rsidP="00C91399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C91399" w:rsidRDefault="00C91399" w:rsidP="00C91399">
      <w:pPr>
        <w:pStyle w:val="ConsPlusTitle"/>
        <w:jc w:val="center"/>
      </w:pPr>
      <w:r>
        <w:t>ИМУЩЕСТВЕННОГО ХАРАКТЕРА И ЗАПОЛНЕНИЯ СООТВЕТСТВУЮЩЕЙ ФОРМЫ</w:t>
      </w:r>
    </w:p>
    <w:p w:rsidR="00C91399" w:rsidRDefault="00C91399" w:rsidP="00C91399">
      <w:pPr>
        <w:pStyle w:val="ConsPlusTitle"/>
        <w:jc w:val="center"/>
      </w:pPr>
      <w:r>
        <w:t>СПРАВКИ В 2022 ГОДУ (ЗА ОТЧЕТНЫЙ 2021 ГОД)</w:t>
      </w:r>
    </w:p>
    <w:p w:rsidR="00C91399" w:rsidRDefault="00C91399" w:rsidP="00C91399">
      <w:pPr>
        <w:pStyle w:val="ConsPlusNormal"/>
        <w:jc w:val="both"/>
      </w:pPr>
    </w:p>
    <w:p w:rsidR="00C91399" w:rsidRDefault="00C91399" w:rsidP="00C91399">
      <w:pPr>
        <w:pStyle w:val="ConsPlusNormal"/>
        <w:ind w:firstLine="540"/>
        <w:jc w:val="both"/>
      </w:pPr>
      <w:r>
        <w:t xml:space="preserve">В течение последних лет является устоявшейся практика подготовки Министерством труда и социальной защиты Российской </w:t>
      </w:r>
      <w:proofErr w:type="gramStart"/>
      <w:r>
        <w:t>Федерации</w:t>
      </w:r>
      <w:proofErr w:type="gramEnd"/>
      <w:r>
        <w:t xml:space="preserve"> ежегодно обновляемых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-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Методические рекомендации для применения в ходе декларационной кампании 2022 года (за отчетный 2021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В ходе использования в работе указанных Методических рекомендаций предлагаем обратить внимание на следующее.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1. 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2. В пункте 13 Методических рекомендаций отмечено, что перевод на государственной гражданской службе Российской Федерации предполагает увольнение и, как следствие, необходимость представления сведений в качестве кандидата.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 xml:space="preserve">3. Ошибочное (неточное) указание сведений вследствие ошибок и неточностей, допущенных органом публичной власти или организацией в </w:t>
      </w:r>
      <w:r>
        <w:lastRenderedPageBreak/>
        <w:t xml:space="preserve">выданных официальных документах (выписках), на основании которых представляются сведения, не влечет применение взыскания. </w:t>
      </w:r>
      <w:proofErr w:type="gramStart"/>
      <w:r>
        <w:t xml:space="preserve">В этой связи в Методических рекомендациях отмечена целесообразность представления сведений на основании официальных документов, например, на основании полученной информации из единой </w:t>
      </w:r>
      <w:hyperlink r:id="rId5" w:history="1">
        <w:r>
          <w:rPr>
            <w:rStyle w:val="a3"/>
            <w:color w:val="0000FF"/>
            <w:u w:val="none"/>
          </w:rPr>
          <w:t>формы</w:t>
        </w:r>
      </w:hyperlink>
      <w:r>
        <w:t xml:space="preserve">, установленной Указанием Банка России от 27 мая 2021 г. N 5798-У "О порядке предоставления кредитными организациями и </w:t>
      </w:r>
      <w:proofErr w:type="spellStart"/>
      <w:r>
        <w:t>некредитными</w:t>
      </w:r>
      <w:proofErr w:type="spellEnd"/>
      <w: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</w:t>
      </w:r>
      <w:proofErr w:type="gramEnd"/>
      <w:r>
        <w:t xml:space="preserve"> и </w:t>
      </w:r>
      <w:proofErr w:type="gramStart"/>
      <w:r>
        <w:t>обязательствах</w:t>
      </w:r>
      <w:proofErr w:type="gramEnd"/>
      <w:r>
        <w:t xml:space="preserve"> имущественного характера, о единой форме предоставления сведений и порядке ее заполнения".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4. 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5. Указан порядок отражения социальной поддержки молодежи в возрасте от 14 до 22 лет для повышения доступности организаций культуры (т.н. "Пушкинская карта").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В Методических рекомендациях учтены изменения, предусмотренные </w:t>
      </w:r>
      <w:hyperlink r:id="rId6" w:history="1">
        <w:r>
          <w:rPr>
            <w:rStyle w:val="a3"/>
            <w:color w:val="0000FF"/>
            <w:u w:val="none"/>
          </w:rPr>
          <w:t>Указом</w:t>
        </w:r>
      </w:hyperlink>
      <w:r>
        <w:t xml:space="preserve"> Президента Российской Федерации от 10 декабря 2020 г.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  <w:proofErr w:type="gramEnd"/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 xml:space="preserve">7. Определены особенности представления информации в случае приобретение недвижимого имущества посредством участия в долевом строительстве с использованием счетов </w:t>
      </w:r>
      <w:proofErr w:type="spellStart"/>
      <w:r>
        <w:t>эскроу</w:t>
      </w:r>
      <w:proofErr w:type="spellEnd"/>
      <w:r>
        <w:t>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8. В пункте 154 Методических рекомендаций обозначено, что уставный капитал зарубежных организаций необходимо устанавливать в соответствии с применимым правом (допускается использование данных из официальных источников в информационно-телекоммуникационной сети "Интернет").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9. Определенны особенности представления информации об акциях, приобретенных на организованных торгах.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10. Отмечено, что при наличии обстоятельств фьючерсный договор подлежит отражению.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>11. 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C91399" w:rsidRDefault="00C91399" w:rsidP="00C91399">
      <w:pPr>
        <w:pStyle w:val="ConsPlusNormal"/>
        <w:spacing w:before="280"/>
        <w:ind w:firstLine="540"/>
        <w:jc w:val="both"/>
      </w:pPr>
      <w:r>
        <w:t xml:space="preserve">12. Положения Методических рекомендаций в целом актуализированы с </w:t>
      </w:r>
      <w:r>
        <w:lastRenderedPageBreak/>
        <w:t>учетом изменений нормативных правовых актов Российской Федерации.</w:t>
      </w:r>
    </w:p>
    <w:p w:rsidR="00C91399" w:rsidRDefault="00C91399" w:rsidP="00C91399">
      <w:pPr>
        <w:pStyle w:val="ConsPlusNormal"/>
        <w:jc w:val="both"/>
      </w:pPr>
    </w:p>
    <w:p w:rsidR="00C91399" w:rsidRDefault="00C91399" w:rsidP="00C91399">
      <w:pPr>
        <w:pStyle w:val="ConsPlusNormal"/>
        <w:jc w:val="both"/>
      </w:pPr>
    </w:p>
    <w:p w:rsidR="00C91399" w:rsidRDefault="00C91399" w:rsidP="00C913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399" w:rsidRDefault="00C91399" w:rsidP="00C91399"/>
    <w:p w:rsidR="004757C0" w:rsidRDefault="004757C0">
      <w:bookmarkStart w:id="0" w:name="_GoBack"/>
      <w:bookmarkEnd w:id="0"/>
    </w:p>
    <w:sectPr w:rsidR="0047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EF"/>
    <w:rsid w:val="004757C0"/>
    <w:rsid w:val="00777BEF"/>
    <w:rsid w:val="00C9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99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399"/>
    <w:rPr>
      <w:color w:val="0000FF" w:themeColor="hyperlink"/>
      <w:u w:val="single"/>
    </w:rPr>
  </w:style>
  <w:style w:type="paragraph" w:customStyle="1" w:styleId="ConsPlusNormal">
    <w:name w:val="ConsPlusNormal"/>
    <w:rsid w:val="00C91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91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99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399"/>
    <w:rPr>
      <w:color w:val="0000FF" w:themeColor="hyperlink"/>
      <w:u w:val="single"/>
    </w:rPr>
  </w:style>
  <w:style w:type="paragraph" w:customStyle="1" w:styleId="ConsPlusNormal">
    <w:name w:val="ConsPlusNormal"/>
    <w:rsid w:val="00C91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91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FC4B4FF6D734FCB1C5A2722EE849D0DCC0FDFD73B2FBB1B5A99BFAC299A446D7E6FD927D6954302E9F9862B4a05CD" TargetMode="External"/><Relationship Id="rId5" Type="http://schemas.openxmlformats.org/officeDocument/2006/relationships/hyperlink" Target="consultantplus://offline/ref=8AFC4B4FF6D734FCB1C5A2722EE849D0DCCFF4F076B0FBB1B5A99BFAC299A446C5E6A59E7E694A33258ACE33F2585CE1B8D96083F66F811Ea35F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3</cp:revision>
  <dcterms:created xsi:type="dcterms:W3CDTF">2023-09-26T13:16:00Z</dcterms:created>
  <dcterms:modified xsi:type="dcterms:W3CDTF">2023-09-26T13:17:00Z</dcterms:modified>
</cp:coreProperties>
</file>