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2199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7"/>
        <w:gridCol w:w="21"/>
        <w:gridCol w:w="4792"/>
        <w:gridCol w:w="4"/>
        <w:gridCol w:w="1546"/>
        <w:gridCol w:w="3"/>
        <w:gridCol w:w="2445"/>
        <w:gridCol w:w="24"/>
        <w:gridCol w:w="1403"/>
        <w:gridCol w:w="47"/>
        <w:gridCol w:w="1506"/>
        <w:gridCol w:w="30"/>
        <w:gridCol w:w="2240"/>
        <w:gridCol w:w="14588"/>
        <w:gridCol w:w="14588"/>
        <w:gridCol w:w="14588"/>
        <w:gridCol w:w="14588"/>
        <w:gridCol w:w="145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7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№ п/п</w:t>
            </w:r>
          </w:p>
        </w:tc>
        <w:tc>
          <w:tcPr>
            <w:tcW w:w="48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hanging="32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       Наименование показателя (результата)</w:t>
            </w:r>
          </w:p>
        </w:tc>
        <w:tc>
          <w:tcPr>
            <w:tcW w:w="1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Единица измерения</w:t>
            </w:r>
          </w:p>
        </w:tc>
        <w:tc>
          <w:tcPr>
            <w:tcW w:w="5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Значения показателей (индикаторов)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48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год, предшествующий отчетному (текущему) году- 2022г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2023 отчетный год</w:t>
            </w:r>
          </w:p>
        </w:tc>
        <w:tc>
          <w:tcPr>
            <w:tcW w:w="2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888" w:hRule="atLeast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48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2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left="31" w:hanging="47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план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line="240" w:lineRule="auto"/>
              <w:ind w:right="260"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>факт на 31.12.2023</w:t>
            </w:r>
          </w:p>
        </w:tc>
        <w:tc>
          <w:tcPr>
            <w:tcW w:w="22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highlight w:val="none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Региональный проект «Патриотическое воспитание»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Задача 1. Формирование эффективной системы патриотического воспитания детей и молодёжи, основанной на принципах нравственности и гражданской идентичности.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Во всех общеобразовательных организациях внедрены рабочие программы воспитания обучающихся.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lang w:val="ru-RU" w:eastAsia="ru-RU" w:bidi="ar-SA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увеличения охвата участия обучающихся в патриотических проектах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тысяча человек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lang w:val="ru-RU" w:eastAsia="ru-RU" w:bidi="ar-SA"/>
              </w:rPr>
            </w:pPr>
            <w:r>
              <w:rPr>
                <w:iCs/>
                <w:sz w:val="18"/>
                <w:szCs w:val="18"/>
              </w:rPr>
              <w:t>1,5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90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Обеспечение развития системы межпоколенческого взаимодействия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тысяча человек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lang w:val="ru-RU" w:eastAsia="ru-RU" w:bidi="ar-SA"/>
              </w:rPr>
            </w:pPr>
            <w:r>
              <w:rPr>
                <w:iCs/>
                <w:sz w:val="18"/>
                <w:szCs w:val="18"/>
              </w:rPr>
              <w:t>0,085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0,085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«Развитие дошкольного образования»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Обеспечение государственных гарантий прав на общедоступное и бесплатное дошкольное образование всем гражданам независимо от места жительства, социального статуса семьи, уровня развития и здоровья ребенка.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Обеспеченность населения дошкольным образованием.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 100% дошкольных образовательных организаций будет внедрен федеральный государственный образовательный стандарт дошкольного образования.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«Развитие общего образования»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Обеспечение возможности детям получать качественное общее образование в условиях отвечающих современным требованиям, независимо от места                          проживания ребенка.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Во всех общеобразовательных организациях будут созданы условия, соответствующие требованиям федеральных государственных образовательных стандартов.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Всем школьникам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будет предоставлена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возможность обучаться в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соответствии с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основными современными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требованиями.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Все выпускники муниципальных общеобразовательных учреждений, сдадут единый государственный экзамен по обязательным предметам «русский язык» и «математика"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Все выпускники муниципальных общеобразовательных учреждений, получат аттестат о среднем общем  образовании.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Заработная плата педагогических работников достигнет не менее                             100 процентов средней заработной платы по области.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«Развитие дополнительного образования детей»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Обеспечение равного доступа к программам дополнительного образования детей независимо от их места жительства, состояния здоровья и социально-экономического положения их семей.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Обеспечение детям в возрасте 5–18 лет возможности получения дополнительного образования.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Задача 2. Повышение качества дополнительного образования путем стимулирования педагогов к достижению качественных результатов.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Заработная плата педагогических работников дополнительного образования достигнет не менее                             100 процентов средней заработной платы по области.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Задача 3. 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Доля детей в возрасте от 5 до 18 лет, использующих сертификаты социального заказа  от общей численности детей от 5 до 18 лет, проживающих на территории МО Адамовский район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iCs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25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«Выявление и поддержка одарённых детей и молодёжи»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Создание и функционирование системы выявления, поддержки и развития способностей и талантов детей и молодёжи.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Увеличение  численности обучающихся по программам общего образования, участвующих в олимпиадах и конкурсах различного уровня.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25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bookmarkStart w:id="0" w:name="_GoBack" w:colFirst="3" w:colLast="6"/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Рост численности педагогов, повысивших квалификацию по вопросам педагогики детской одаренности, от общей численности педагогов.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 xml:space="preserve">Комплекс процессных мероприятий «Развитие физической культуры и спорта </w:t>
            </w:r>
          </w:p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в образовательных организациях дошкольного, общего и дополнительного образования детей»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Создание в образовательных организациях условий для сохранения и укрепления здоровья воспитанников и обучающихся, формирования здорового образа жизни, мотивации к занятиям физической культурой и спортом.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eastAsia="en-US"/>
              </w:rPr>
              <w:t>Увеличение численности воспитанников и обучающихся в возрасте 5–18 лет, регулярно занимающихся в спортивных секциях, клубах и иных объединениях спортивной направленности и охваченных программами формирования здорового образа жизни.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Обеспечение возможности для педагогических работников профессионального развития на протяжении всей профессиональной деятельности.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Периодическое получение (подтверждение)  квалификационной категории педагогическими работниками  общеобразовательных учреждений.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Систематическое повышения квалификации педагогическими работниками образовательных организаций по актуальным  направлениям развития образования.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Сохранение доли педагогических работников с высшим образованием  в общеобразовательных учреждениях.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«Развитие инфраструктуры дошкольного, общего и дополнительного образования детей»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Развитие инфраструктуры образовательных организаций, обеспечивающей доступ населения к качественному дошкольному, общему и дополнительному образованию детей.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Обеспечение мероприятий по проведению капитального ремонта в образовательных организациях.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единиц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Обеспечение выполнения мероприятий по оснащению образовательных организаций средствами обучения и воспитания.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единиц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  <w:t>Комплекс процессных мероприятий «Социальные гарантии работникам образования»</w:t>
            </w: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  <w:t>Комплекс процессных мероприятий «Социальные гарантии работникам образования»</w:t>
            </w: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  <w:t>Комплекс процессных мероприятий «Социальные гарантии работникам образования»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Повышение социального статуса работников образования, привлекательности педагогической профессии для молодёжи.</w:t>
            </w: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Повышение социального статуса работников образования, привлекательности педагогической профессии для молодёжи.</w:t>
            </w: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</w:pPr>
          </w:p>
        </w:tc>
        <w:tc>
          <w:tcPr>
            <w:tcW w:w="1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Повышение социального статуса работников образования, привлекательности педагогической профессии для молодёжи.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  <w:t>Обеспечение возможности педагогическим работникам получать ежемесячное денежное вознаграждение за классное руководство в размере пять тысяч рублей в месяц.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  <w:t>Обеспечение возможности педагогическим работникам ОУ, получать социальные выплаты на компенсацию расходов по оплате жилых помещений, отопления и освещения, в общей численности педагогических работников такой категории.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  <w:t>Комплекс процессных мероприятий «Создание условий для получения образования детьми-инвалидами и детьми с ограниченными возможностями здоровья»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Задача 1. Развитие безбарьерной адаптивной образовательной среды, подразумевающее минимизацию образовательных, материальных и социальных барьеров и достижение новых высоких образовательных результатов, социальное развитие и сохранение здоровья всех обучающихся школы с инклюзивным подходом в обучении. Организация работы с детьми – инвалидами и детьми с ОВЗ по получению ими качественного образования.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Рост доли образовательных организаций оснащенных универсальной безбарьерной образовательной средой для инклюзивного образования детей-инвалидов и детей с ОВЗ.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Организация возможности детям-инвалидам и детям с ОВЗ получать качественное образование.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18"/>
                <w:szCs w:val="18"/>
                <w:highlight w:val="none"/>
              </w:rPr>
              <w:t>Комплекс процессных мероприятий «Развитие системы оценки качества образования и информационной прозрачности системы образования»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 xml:space="preserve">Задача 1.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Сформированность системы соответствующего механизма (стандартизированные оценочные процедуры) на каждом из уровней образования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единиц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Во всех образовательных организациях будут действовать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Все образовательные организации будут обеспечивать потребителям доступность информации о своей деятельности на официальных сайтах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«Вовлечение детей и подростков в социальную практику»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Задача 1. Духовно-нравственное и патриотическое воспитание граждан на исторических и современных примерах, развитие коллективных начал российского общества, поддержка социально значимых инициатив, в том числе благотворительных проектов, добровольческого движения.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Предоставление возможности детям и подросткам, заниматься добровольческой деятельностью.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Предоставление возможности детям и подросткам в возрасте от 14 до 18 лет, принимать участие в деятельности молодежных общественных объединений патриотической, туристической, экологической, краеведческой направленности.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Организация комплексного психолого-педагогического сопровождения участников образовательных отношений.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Создание эффективной системы организации отдыха, оздоровления и занятости, способствующей воспитанию и развитию детей и подростков.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Организация различных форм отдыха, оздоровления и занятости детей и подростков.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Временное трудоустройство  несовершеннолетних.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eastAsia="en-US"/>
              </w:rPr>
              <w:t>Задача 1. Обеспечение социальной поддержки детей-сирот, детей, оставшихся без попечения родителей.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eastAsia="en-US"/>
              </w:rPr>
              <w:t>Увеличение доли детей-сирот и детей, оставшихся без попечения родителей, воспитывающихся в семьях опекунов, попечителей, приемных родителей.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lang w:val="ru-RU" w:eastAsia="en-US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57,6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57,6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57,6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 xml:space="preserve">Задача 1.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  <w:shd w:val="clear" w:color="auto" w:fill="FFFFFF"/>
              </w:rPr>
              <w:t>Создание условий для обеспечения здорового питания школьников в целях сохранения и укрепления их здоровья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100 % охват обучающихся образовательных организаций горячим питанием.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Увеличение в рационе питания учащихся доли продуктов, обогащенных витаминами и микронутриентами.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Комплектование пищеблоков необходимым технологическим оборудованием, посудой и инвентарем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Питание обучающихся начальных классов за счет средств местного и областного бюджета, как составляющей в структуре финансирования питания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Питание обучающихся 5-11 классов за счет средств местного бюджета, как составляющей в структуре финансирования питания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highlight w:val="none"/>
              </w:rPr>
              <w:t>Питание обучающихся с ОВЗ за счет средств местного бюджета, как составляющей в структуре финансирования питания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«Безопасность образовательных организаций Адамовского района»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</w:rPr>
              <w:t>Задача 1. Обеспечение комплексной безопасности обучающихся, воспитанников и работников образовательных учреждений всех типов и видов во время их трудовой и учебной деятельности.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Соответствие всех образовательных организаций нормам и правилам пожарной безопасности.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Периодическая переподготовка кадров, ответственных за безопасность образовательных организаций.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Увеличение доли образовательных учреждений, оснащенных оборудованием в области антитеррористической защищенности.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contextualSpacing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  <w:t>Все образовательные организации обеспечены безопасными условиями получения образования в общей численности учащихся.</w:t>
            </w:r>
          </w:p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contextualSpacing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eastAsia="en-US"/>
              </w:rPr>
              <w:t>Материально-техническое обеспечение образовательных организаций отвечающее требованиям надзорных органов.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Обеспеченность образовательных организаций школьными автобусами для подвоза обучающихся в общеобразовательную организацию для обучения соответствующие требованиям ГОСТ.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Все образовательные организации  имеют систему контентной фильтрации.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18"/>
                <w:szCs w:val="18"/>
                <w:highlight w:val="none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14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Cs/>
                <w:sz w:val="18"/>
                <w:szCs w:val="18"/>
                <w:highlight w:val="none"/>
                <w:lang w:eastAsia="en-US"/>
              </w:rPr>
              <w:t>Задача 1. Координация работы и организационное сопровождение системы образования.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7404" w:type="dxa"/>
          <w:cantSplit/>
          <w:trHeight w:val="346" w:hRule="atLeast"/>
        </w:trPr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Все мероприятия, направленные на координацию работы и организационное сопровождение системы образования выполнены.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  <w:t>процент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SimSun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18"/>
                <w:highlight w:val="none"/>
              </w:rPr>
            </w:pPr>
          </w:p>
        </w:tc>
      </w:tr>
    </w:tbl>
    <w:p>
      <w:pPr>
        <w:rPr>
          <w:lang w:val="en-US"/>
        </w:rPr>
      </w:pPr>
    </w:p>
    <w:sectPr>
      <w:pgSz w:w="16838" w:h="11906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24D0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659D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E7372B"/>
    <w:rsid w:val="020236B3"/>
    <w:rsid w:val="024263C3"/>
    <w:rsid w:val="05A30D0A"/>
    <w:rsid w:val="05F81957"/>
    <w:rsid w:val="08230FE7"/>
    <w:rsid w:val="08897A92"/>
    <w:rsid w:val="097B289D"/>
    <w:rsid w:val="0A2C6E3E"/>
    <w:rsid w:val="0B4D059A"/>
    <w:rsid w:val="0DEE7869"/>
    <w:rsid w:val="0EB51830"/>
    <w:rsid w:val="0EE477F3"/>
    <w:rsid w:val="10B6144F"/>
    <w:rsid w:val="12E3767C"/>
    <w:rsid w:val="134C478E"/>
    <w:rsid w:val="160B0931"/>
    <w:rsid w:val="161271C4"/>
    <w:rsid w:val="17111053"/>
    <w:rsid w:val="198C19F9"/>
    <w:rsid w:val="1A4646AB"/>
    <w:rsid w:val="1F56562B"/>
    <w:rsid w:val="1F6E7EA0"/>
    <w:rsid w:val="206C6470"/>
    <w:rsid w:val="20D21CE6"/>
    <w:rsid w:val="245C47B5"/>
    <w:rsid w:val="25EB0744"/>
    <w:rsid w:val="26567DF3"/>
    <w:rsid w:val="27187EB1"/>
    <w:rsid w:val="28D61AB0"/>
    <w:rsid w:val="2BD77907"/>
    <w:rsid w:val="2D5B50F8"/>
    <w:rsid w:val="2E5F36A1"/>
    <w:rsid w:val="2F747966"/>
    <w:rsid w:val="2F8A52E8"/>
    <w:rsid w:val="30797214"/>
    <w:rsid w:val="30A5355B"/>
    <w:rsid w:val="30B20672"/>
    <w:rsid w:val="314630E4"/>
    <w:rsid w:val="32720653"/>
    <w:rsid w:val="327402D3"/>
    <w:rsid w:val="32963D0B"/>
    <w:rsid w:val="35D501BC"/>
    <w:rsid w:val="36CA11F2"/>
    <w:rsid w:val="37A80BE0"/>
    <w:rsid w:val="38C86AB9"/>
    <w:rsid w:val="3A052C3D"/>
    <w:rsid w:val="3AEC2F3B"/>
    <w:rsid w:val="3B4D4259"/>
    <w:rsid w:val="3BC5739B"/>
    <w:rsid w:val="3D2E204C"/>
    <w:rsid w:val="3E6853F0"/>
    <w:rsid w:val="402B704B"/>
    <w:rsid w:val="414C1C7A"/>
    <w:rsid w:val="438356FB"/>
    <w:rsid w:val="44923C8C"/>
    <w:rsid w:val="45636562"/>
    <w:rsid w:val="45B32E6A"/>
    <w:rsid w:val="45F25354"/>
    <w:rsid w:val="473C746D"/>
    <w:rsid w:val="479F1710"/>
    <w:rsid w:val="480126AE"/>
    <w:rsid w:val="485A1E43"/>
    <w:rsid w:val="48970623"/>
    <w:rsid w:val="49742590"/>
    <w:rsid w:val="4E767AF0"/>
    <w:rsid w:val="50D0267C"/>
    <w:rsid w:val="51203526"/>
    <w:rsid w:val="521A60FF"/>
    <w:rsid w:val="52257550"/>
    <w:rsid w:val="52EF06B7"/>
    <w:rsid w:val="53133AF8"/>
    <w:rsid w:val="532A16EF"/>
    <w:rsid w:val="544F49E2"/>
    <w:rsid w:val="55D32512"/>
    <w:rsid w:val="563F7711"/>
    <w:rsid w:val="58E96A43"/>
    <w:rsid w:val="58FA1B08"/>
    <w:rsid w:val="5C4B7382"/>
    <w:rsid w:val="5C4E40FD"/>
    <w:rsid w:val="5CDC0190"/>
    <w:rsid w:val="5F301C37"/>
    <w:rsid w:val="5FA57677"/>
    <w:rsid w:val="610C2043"/>
    <w:rsid w:val="612C6F7A"/>
    <w:rsid w:val="61D50F91"/>
    <w:rsid w:val="61F1723C"/>
    <w:rsid w:val="63130619"/>
    <w:rsid w:val="638379D3"/>
    <w:rsid w:val="638E7F62"/>
    <w:rsid w:val="63DF7ED4"/>
    <w:rsid w:val="63FE3A99"/>
    <w:rsid w:val="69891532"/>
    <w:rsid w:val="69F22865"/>
    <w:rsid w:val="6D79721F"/>
    <w:rsid w:val="700346D4"/>
    <w:rsid w:val="705F4C76"/>
    <w:rsid w:val="706E6C67"/>
    <w:rsid w:val="73E67832"/>
    <w:rsid w:val="75132823"/>
    <w:rsid w:val="760B779F"/>
    <w:rsid w:val="77A42BBA"/>
    <w:rsid w:val="77CE623E"/>
    <w:rsid w:val="78047EB1"/>
    <w:rsid w:val="78886D34"/>
    <w:rsid w:val="7A5E74D2"/>
    <w:rsid w:val="7A925C48"/>
    <w:rsid w:val="7A96762C"/>
    <w:rsid w:val="7D6C7155"/>
    <w:rsid w:val="7EC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Мой Стиль1"/>
    <w:basedOn w:val="1"/>
    <w:qFormat/>
    <w:uiPriority w:val="0"/>
    <w:pPr>
      <w:ind w:firstLine="480" w:firstLineChars="200"/>
      <w:jc w:val="both"/>
    </w:pPr>
    <w:rPr>
      <w:rFonts w:ascii="Times New Roman" w:hAnsi="Times New Roman" w:eastAsia="Cambria" w:cs="Times New Roman"/>
      <w:color w:val="auto"/>
      <w:sz w:val="24"/>
      <w:szCs w:val="24"/>
      <w:shd w:val="clear" w:fill="FFFFFF"/>
      <w:lang w:bidi="ar"/>
    </w:rPr>
  </w:style>
  <w:style w:type="paragraph" w:customStyle="1" w:styleId="152">
    <w:name w:val="Мой Стиль1 название глав 16"/>
    <w:basedOn w:val="1"/>
    <w:next w:val="1"/>
    <w:qFormat/>
    <w:uiPriority w:val="0"/>
    <w:pPr>
      <w:outlineLvl w:val="1"/>
    </w:pPr>
    <w:rPr>
      <w:rFonts w:ascii="Times New Roman" w:hAnsi="Times New Roman" w:eastAsia="Lucida Sans Unicode" w:cs="Times New Roman"/>
      <w:b/>
      <w:bCs/>
      <w:color w:val="auto"/>
      <w:sz w:val="28"/>
      <w:szCs w:val="32"/>
      <w:shd w:val="clear" w:fill="FFFFFF"/>
      <w:lang w:bidi="ar"/>
    </w:rPr>
  </w:style>
  <w:style w:type="paragraph" w:customStyle="1" w:styleId="153">
    <w:name w:val="Мой Стиль1 курсив"/>
    <w:basedOn w:val="1"/>
    <w:link w:val="157"/>
    <w:qFormat/>
    <w:uiPriority w:val="0"/>
    <w:pPr>
      <w:ind w:firstLine="640" w:firstLineChars="200"/>
      <w:jc w:val="both"/>
    </w:pPr>
    <w:rPr>
      <w:rFonts w:ascii="Times New Roman" w:hAnsi="Times New Roman" w:eastAsia="Cambria" w:cs="Times New Roman"/>
      <w:i/>
      <w:iCs/>
      <w:color w:val="auto"/>
      <w:sz w:val="24"/>
      <w:szCs w:val="24"/>
      <w:shd w:val="clear" w:fill="FFFFFF"/>
      <w:lang w:bidi="ar"/>
    </w:rPr>
  </w:style>
  <w:style w:type="paragraph" w:customStyle="1" w:styleId="154">
    <w:name w:val="Мой Стиль1 заголовок  глав 16"/>
    <w:basedOn w:val="1"/>
    <w:next w:val="1"/>
    <w:qFormat/>
    <w:uiPriority w:val="0"/>
    <w:pPr>
      <w:shd w:val="clear" w:fill="FFFFFF"/>
      <w:jc w:val="center"/>
      <w:outlineLvl w:val="0"/>
    </w:pPr>
    <w:rPr>
      <w:rFonts w:ascii="Times New Roman" w:hAnsi="Times New Roman" w:eastAsia="Lucida Sans Unicode" w:cs="Times New Roman"/>
      <w:b/>
      <w:bCs/>
      <w:color w:val="auto"/>
      <w:kern w:val="32"/>
      <w:sz w:val="32"/>
      <w:szCs w:val="32"/>
      <w:shd w:val="clear" w:fill="FFFFFF"/>
      <w:lang w:bidi="ar"/>
    </w:rPr>
  </w:style>
  <w:style w:type="paragraph" w:customStyle="1" w:styleId="155">
    <w:name w:val="Мой Стиль1 цитата"/>
    <w:basedOn w:val="1"/>
    <w:link w:val="156"/>
    <w:qFormat/>
    <w:uiPriority w:val="0"/>
    <w:pPr>
      <w:shd w:val="clear" w:fill="FFFFFF"/>
      <w:ind w:left="720" w:right="720"/>
      <w:jc w:val="both"/>
    </w:pPr>
    <w:rPr>
      <w:rFonts w:ascii="Times New Roman" w:hAnsi="Times New Roman" w:eastAsia="SimSun" w:cs="Times New Roman"/>
      <w:bCs/>
      <w:color w:val="auto"/>
      <w:sz w:val="24"/>
      <w:szCs w:val="24"/>
      <w:shd w:val="clear" w:fill="FFFFFF"/>
      <w:lang w:bidi="ar"/>
    </w:rPr>
  </w:style>
  <w:style w:type="character" w:customStyle="1" w:styleId="156">
    <w:name w:val="Мой Стиль1 цитата Char"/>
    <w:link w:val="155"/>
    <w:qFormat/>
    <w:uiPriority w:val="0"/>
    <w:rPr>
      <w:rFonts w:ascii="Times New Roman" w:hAnsi="Times New Roman" w:eastAsia="SimSun" w:cs="Times New Roman"/>
      <w:bCs/>
      <w:color w:val="auto"/>
      <w:sz w:val="24"/>
      <w:szCs w:val="24"/>
      <w:shd w:val="clear" w:fill="FFFFFF"/>
      <w:lang w:bidi="ar"/>
    </w:rPr>
  </w:style>
  <w:style w:type="character" w:customStyle="1" w:styleId="157">
    <w:name w:val="Мой Стиль1 курсив Char"/>
    <w:link w:val="153"/>
    <w:qFormat/>
    <w:uiPriority w:val="0"/>
    <w:rPr>
      <w:rFonts w:ascii="Times New Roman" w:hAnsi="Times New Roman" w:eastAsia="Cambria" w:cs="Times New Roman"/>
      <w:i/>
      <w:iCs/>
      <w:color w:val="auto"/>
      <w:sz w:val="24"/>
      <w:szCs w:val="24"/>
      <w:shd w:val="clear" w:fill="FFFFFF"/>
      <w:lang w:bidi="ar"/>
    </w:rPr>
  </w:style>
  <w:style w:type="paragraph" w:customStyle="1" w:styleId="158">
    <w:name w:val="Стиль2"/>
    <w:basedOn w:val="1"/>
    <w:qFormat/>
    <w:uiPriority w:val="0"/>
    <w:pPr>
      <w:ind w:firstLine="480" w:firstLineChars="200"/>
      <w:jc w:val="both"/>
    </w:pPr>
    <w:rPr>
      <w:rFonts w:ascii="Arial" w:hAnsi="Arial" w:eastAsia="Cambria" w:cs="Times New Roman"/>
      <w:color w:val="auto"/>
      <w:sz w:val="24"/>
      <w:szCs w:val="24"/>
      <w:shd w:val="clear" w:fill="FFFFFF"/>
      <w:lang w:bidi="ar"/>
    </w:rPr>
  </w:style>
  <w:style w:type="paragraph" w:customStyle="1" w:styleId="159">
    <w:name w:val="Мой Стиль1 название глав 14"/>
    <w:basedOn w:val="1"/>
    <w:next w:val="1"/>
    <w:qFormat/>
    <w:uiPriority w:val="0"/>
    <w:pPr>
      <w:outlineLvl w:val="1"/>
    </w:pPr>
    <w:rPr>
      <w:rFonts w:ascii="Times New Roman" w:hAnsi="Times New Roman" w:eastAsia="Lucida Sans Unicode" w:cs="Times New Roman"/>
      <w:b/>
      <w:bCs/>
      <w:color w:val="auto"/>
      <w:sz w:val="32"/>
      <w:szCs w:val="32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2022-04-25T12:03:00Z</dcterms:created>
  <dc:creator>shkaf</dc:creator>
  <cp:lastModifiedBy>Beard Wall</cp:lastModifiedBy>
  <cp:lastPrinted>2024-03-13T11:53:07Z</cp:lastPrinted>
  <dcterms:modified xsi:type="dcterms:W3CDTF">2024-03-13T11:58:24Z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DAE12A62C17E477B98480B91AFAA4163</vt:lpwstr>
  </property>
</Properties>
</file>